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41470848"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9293B73" w14:textId="77777777" w:rsidR="00000000" w:rsidRDefault="00732BCA">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DDA7853" w14:textId="77777777" w:rsidR="00000000" w:rsidRDefault="00732BCA">
            <w:pPr>
              <w:jc w:val="center"/>
            </w:pPr>
            <w:r>
              <w:rPr>
                <w:b/>
                <w:bCs/>
              </w:rPr>
              <w:t>CỘNG HOÀ XÃ HỘI CHỦ NGHĨA VIỆT NAM</w:t>
            </w:r>
            <w:r>
              <w:rPr>
                <w:b/>
                <w:bCs/>
              </w:rPr>
              <w:br/>
              <w:t>Độc lập - Tự do - Hạnh phúc</w:t>
            </w:r>
            <w:r>
              <w:rPr>
                <w:b/>
                <w:bCs/>
              </w:rPr>
              <w:br/>
              <w:t>********</w:t>
            </w:r>
          </w:p>
        </w:tc>
      </w:tr>
      <w:tr w:rsidR="00000000" w14:paraId="1B5900F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D157D02" w14:textId="77777777" w:rsidR="00000000" w:rsidRDefault="00732BCA">
            <w:pPr>
              <w:jc w:val="center"/>
            </w:pPr>
            <w:r>
              <w:t>Số: 17/CP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C69A12D" w14:textId="77777777" w:rsidR="00000000" w:rsidRDefault="00732BCA">
            <w:pPr>
              <w:jc w:val="right"/>
            </w:pPr>
            <w:r>
              <w:rPr>
                <w:i/>
                <w:iCs/>
              </w:rPr>
              <w:t>Hà Nội, ngày 06 tháng 2 năm 1995</w:t>
            </w:r>
          </w:p>
        </w:tc>
      </w:tr>
    </w:tbl>
    <w:p w14:paraId="40868707" w14:textId="77777777" w:rsidR="00000000" w:rsidRDefault="00732BCA">
      <w:pPr>
        <w:spacing w:after="120"/>
        <w:jc w:val="center"/>
      </w:pPr>
      <w:r>
        <w:t> </w:t>
      </w:r>
    </w:p>
    <w:p w14:paraId="03F6F116" w14:textId="77777777" w:rsidR="00000000" w:rsidRDefault="00732BCA">
      <w:pPr>
        <w:spacing w:after="120"/>
        <w:jc w:val="center"/>
      </w:pPr>
      <w:r>
        <w:rPr>
          <w:b/>
          <w:bCs/>
        </w:rPr>
        <w:t xml:space="preserve">NGHỊ ĐỊNH  </w:t>
      </w:r>
    </w:p>
    <w:p w14:paraId="338B8ECB" w14:textId="77777777" w:rsidR="00000000" w:rsidRDefault="00732BCA">
      <w:pPr>
        <w:spacing w:after="120"/>
        <w:jc w:val="center"/>
      </w:pPr>
      <w:r>
        <w:rPr>
          <w:bCs/>
        </w:rPr>
        <w:t xml:space="preserve">SỐ 17/CP CỦA CHÍNH PHỦ VỀ BAN HÀNH TIÊU CHUẨN HÀNH LÝ MIỄN THUẾ CỦA KHÁCH XUẤT NHẬP CẢNH TẠI CÁC CỬA KHẨU </w:t>
      </w:r>
      <w:r>
        <w:rPr>
          <w:bCs/>
        </w:rPr>
        <w:t>VIỆT NAM </w:t>
      </w:r>
    </w:p>
    <w:p w14:paraId="0BF1C543" w14:textId="77777777" w:rsidR="00000000" w:rsidRDefault="00732BCA">
      <w:pPr>
        <w:spacing w:after="120"/>
        <w:jc w:val="center"/>
      </w:pPr>
      <w:r>
        <w:rPr>
          <w:b/>
          <w:bCs/>
        </w:rPr>
        <w:t>CHÍNH PHỦ</w:t>
      </w:r>
    </w:p>
    <w:p w14:paraId="552941B4" w14:textId="77777777" w:rsidR="00000000" w:rsidRDefault="00732BCA">
      <w:pPr>
        <w:spacing w:after="120"/>
      </w:pPr>
      <w:r>
        <w:rPr>
          <w:i/>
          <w:iCs/>
        </w:rPr>
        <w:t xml:space="preserve">Căn cứ Luật Tổ chức Chính phủ ngày 30 tháng 9 năm 1992; </w:t>
      </w:r>
      <w:r>
        <w:rPr>
          <w:i/>
          <w:iCs/>
        </w:rPr>
        <w:br/>
        <w:t xml:space="preserve">Căn cứ Luật thuế xuất khẩu, thuế nhập khẩu ngày 26 tháng 12 năm 1994; </w:t>
      </w:r>
      <w:r>
        <w:rPr>
          <w:i/>
          <w:iCs/>
        </w:rPr>
        <w:br/>
        <w:t xml:space="preserve">Căn cứ Pháp lệnh Hải quan ngày 20 tháng 2 năm 1990; </w:t>
      </w:r>
      <w:r>
        <w:rPr>
          <w:i/>
          <w:iCs/>
        </w:rPr>
        <w:br/>
        <w:t xml:space="preserve">Theo đề nghị của Tổng cục trưởng Tổng cục Hải quan, Bộ </w:t>
      </w:r>
      <w:r>
        <w:rPr>
          <w:i/>
          <w:iCs/>
        </w:rPr>
        <w:t xml:space="preserve">trưởng Bộ Tài chính, Bộ trưởng Bộ Thương mại, </w:t>
      </w:r>
    </w:p>
    <w:p w14:paraId="2ACA703B" w14:textId="77777777" w:rsidR="00000000" w:rsidRDefault="00732BCA">
      <w:pPr>
        <w:spacing w:after="120"/>
        <w:jc w:val="center"/>
      </w:pPr>
      <w:r>
        <w:rPr>
          <w:b/>
          <w:bCs/>
        </w:rPr>
        <w:t>NGHỊ ĐỊNH :</w:t>
      </w:r>
      <w:r>
        <w:t> </w:t>
      </w:r>
    </w:p>
    <w:p w14:paraId="3340591B" w14:textId="77777777" w:rsidR="00000000" w:rsidRDefault="00732BCA">
      <w:pPr>
        <w:spacing w:after="120"/>
      </w:pPr>
      <w:bookmarkStart w:id="1" w:name="dieu_1"/>
      <w:r>
        <w:rPr>
          <w:b/>
          <w:bCs/>
        </w:rPr>
        <w:t>Điều 1.</w:t>
      </w:r>
      <w:r>
        <w:t xml:space="preserve">- Ban hành kèm theo Nghị định này Tiêu chuẩn hành lý miễn thuế của khách xuất nhập cảnh tại các cửa khẩu Việt Nam. </w:t>
      </w:r>
      <w:bookmarkEnd w:id="1"/>
    </w:p>
    <w:p w14:paraId="46A73A33" w14:textId="77777777" w:rsidR="00000000" w:rsidRDefault="00732BCA">
      <w:pPr>
        <w:spacing w:after="120"/>
      </w:pPr>
      <w:r>
        <w:rPr>
          <w:b/>
          <w:bCs/>
        </w:rPr>
        <w:t>Điều 2.</w:t>
      </w:r>
      <w:r>
        <w:t xml:space="preserve">- Các vật phẩm ngoài Tiêu chuẩn hành lý miễn thuế đã ghi tại Điều </w:t>
      </w:r>
      <w:r>
        <w:t xml:space="preserve">1 trên đây được coi là hàng hoá, phải nộp thuế xuất khẩu, thuế nhập khẩu theo luật định và chịu sự điều chỉnh của các quy định pháp lý liên quan khác. </w:t>
      </w:r>
    </w:p>
    <w:p w14:paraId="187084C1" w14:textId="77777777" w:rsidR="00000000" w:rsidRDefault="00732BCA">
      <w:pPr>
        <w:spacing w:after="120"/>
      </w:pPr>
      <w:r>
        <w:rPr>
          <w:b/>
          <w:bCs/>
        </w:rPr>
        <w:t>Điều 3.</w:t>
      </w:r>
      <w:r>
        <w:t xml:space="preserve">- Mọi hành vi vi phạm các quy định của Nghị định này đều bị xử lý theo pháp luật hiện hành. </w:t>
      </w:r>
    </w:p>
    <w:p w14:paraId="2FA1ABDE" w14:textId="77777777" w:rsidR="00000000" w:rsidRDefault="00732BCA">
      <w:pPr>
        <w:spacing w:after="120"/>
      </w:pPr>
      <w:r>
        <w:rPr>
          <w:b/>
          <w:bCs/>
        </w:rPr>
        <w:t>Điều</w:t>
      </w:r>
      <w:r>
        <w:rPr>
          <w:b/>
          <w:bCs/>
        </w:rPr>
        <w:t xml:space="preserve"> 4.</w:t>
      </w:r>
      <w:r>
        <w:t xml:space="preserve">- Nghị định này thay thế Nghị định số 09/CP ngày 14 tháng 11 năm 1992 và có hiệu lực thi hành kể từ ngày 15 tháng 2 năm 1995. </w:t>
      </w:r>
    </w:p>
    <w:p w14:paraId="684B2FA0" w14:textId="77777777" w:rsidR="00000000" w:rsidRDefault="00732BCA">
      <w:pPr>
        <w:spacing w:after="120"/>
      </w:pPr>
      <w:bookmarkStart w:id="2" w:name="dieu_5"/>
      <w:r>
        <w:rPr>
          <w:b/>
          <w:bCs/>
        </w:rPr>
        <w:t>Điều 5.</w:t>
      </w:r>
      <w:r>
        <w:t xml:space="preserve">- Tổng cục trưởng Tổng cục Hải quan chịu trách nhiệm hướng dẫn và tổ chức thực hiện việc thi hành Nghị định này. </w:t>
      </w:r>
      <w:bookmarkEnd w:id="2"/>
    </w:p>
    <w:p w14:paraId="276EEE02" w14:textId="77777777" w:rsidR="00000000" w:rsidRDefault="00732BC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623B5409"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5AD973E" w14:textId="77777777" w:rsidR="00000000" w:rsidRDefault="00732BC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F902187" w14:textId="77777777" w:rsidR="00000000" w:rsidRDefault="00732BCA">
            <w:pPr>
              <w:spacing w:after="120"/>
              <w:jc w:val="center"/>
            </w:pPr>
            <w:r>
              <w:rPr>
                <w:b/>
                <w:bCs/>
              </w:rPr>
              <w:t>P</w:t>
            </w:r>
            <w:r>
              <w:rPr>
                <w:b/>
                <w:bCs/>
              </w:rPr>
              <w:t>han Văn Khải</w:t>
            </w:r>
          </w:p>
          <w:p w14:paraId="6763297B" w14:textId="77777777" w:rsidR="00000000" w:rsidRDefault="00732BCA">
            <w:pPr>
              <w:jc w:val="center"/>
            </w:pPr>
            <w:r>
              <w:t>(Đã ký)</w:t>
            </w:r>
          </w:p>
        </w:tc>
      </w:tr>
    </w:tbl>
    <w:p w14:paraId="1913BCE1" w14:textId="77777777" w:rsidR="00000000" w:rsidRDefault="00732BCA">
      <w:pPr>
        <w:spacing w:after="120"/>
      </w:pPr>
      <w:r>
        <w:t> </w:t>
      </w:r>
    </w:p>
    <w:p w14:paraId="2541D4E3" w14:textId="77777777" w:rsidR="00000000" w:rsidRDefault="00732BCA">
      <w:pPr>
        <w:spacing w:after="120"/>
        <w:jc w:val="center"/>
      </w:pPr>
      <w:r>
        <w:t>TIÊU CHUẨN HÀNH LÝ MIỄN THUẾ CỦA KHÁCH XUẤT NHẬP CẢNH TẠI CÁC CỬA KHẨU VIỆT NAM</w:t>
      </w:r>
      <w:r>
        <w:br/>
      </w:r>
      <w:r>
        <w:rPr>
          <w:i/>
          <w:iCs/>
        </w:rPr>
        <w:t>(Ban hành kèm theo Nghị định số 17/CP ngày 6 tháng 2 năm 1995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1"/>
        <w:gridCol w:w="3699"/>
        <w:gridCol w:w="1295"/>
        <w:gridCol w:w="3545"/>
      </w:tblGrid>
      <w:tr w:rsidR="00000000" w14:paraId="1A5075E0" w14:textId="77777777">
        <w:trPr>
          <w:trHeight w:val="591"/>
        </w:trPr>
        <w:tc>
          <w:tcPr>
            <w:tcW w:w="7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0D770" w14:textId="77777777" w:rsidR="00000000" w:rsidRDefault="00732BCA">
            <w:pPr>
              <w:jc w:val="center"/>
            </w:pPr>
            <w:r>
              <w:t>STT</w:t>
            </w:r>
          </w:p>
        </w:tc>
        <w:tc>
          <w:tcPr>
            <w:tcW w:w="32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5CEC2" w14:textId="77777777" w:rsidR="00000000" w:rsidRDefault="00732BCA">
            <w:pPr>
              <w:jc w:val="center"/>
            </w:pPr>
            <w:r>
              <w:t>Mặt hàng</w:t>
            </w:r>
          </w:p>
        </w:tc>
        <w:tc>
          <w:tcPr>
            <w:tcW w:w="11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9D7F9" w14:textId="77777777" w:rsidR="00000000" w:rsidRDefault="00732BCA">
            <w:pPr>
              <w:jc w:val="center"/>
            </w:pPr>
            <w:r>
              <w:t>Số lượng</w:t>
            </w:r>
          </w:p>
        </w:tc>
        <w:tc>
          <w:tcPr>
            <w:tcW w:w="31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F29B8" w14:textId="77777777" w:rsidR="00000000" w:rsidRDefault="00732BCA">
            <w:pPr>
              <w:jc w:val="center"/>
            </w:pPr>
            <w:r>
              <w:t>Ghi chú</w:t>
            </w:r>
          </w:p>
        </w:tc>
      </w:tr>
      <w:tr w:rsidR="00000000" w14:paraId="73E6D694"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C6D9C9" w14:textId="77777777" w:rsidR="00000000" w:rsidRDefault="00732BCA">
            <w:pPr>
              <w:jc w:val="center"/>
            </w:pPr>
            <w:r>
              <w:t>1</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9DAB78" w14:textId="77777777" w:rsidR="00000000" w:rsidRDefault="00732BCA">
            <w:pPr>
              <w:spacing w:after="120"/>
            </w:pPr>
            <w:bookmarkStart w:id="3" w:name="cumtu_1"/>
            <w:r>
              <w:t>Rượu, đồ uống có cồn</w:t>
            </w:r>
            <w:bookmarkEnd w:id="3"/>
          </w:p>
          <w:p w14:paraId="59C7DDF4" w14:textId="77777777" w:rsidR="00000000" w:rsidRDefault="00732BCA">
            <w:pPr>
              <w:spacing w:after="120"/>
            </w:pPr>
            <w:r>
              <w:t xml:space="preserve">- Rượu trên 22 độ </w:t>
            </w:r>
          </w:p>
          <w:p w14:paraId="639ABECB" w14:textId="77777777" w:rsidR="00000000" w:rsidRDefault="00732BCA">
            <w:pPr>
              <w:spacing w:after="120"/>
            </w:pPr>
            <w:r>
              <w:lastRenderedPageBreak/>
              <w:t xml:space="preserve">- </w:t>
            </w:r>
            <w:r>
              <w:t>Rượu dưới 22 độ</w:t>
            </w:r>
          </w:p>
          <w:p w14:paraId="429653D4" w14:textId="77777777" w:rsidR="00000000" w:rsidRDefault="00732BCA">
            <w:r>
              <w:t>- Đồ uống có cồn bia</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ABCF1" w14:textId="77777777" w:rsidR="00000000" w:rsidRDefault="00732BCA">
            <w:pPr>
              <w:spacing w:after="120"/>
            </w:pPr>
            <w:r>
              <w:lastRenderedPageBreak/>
              <w:t>1,5 lít</w:t>
            </w:r>
          </w:p>
          <w:p w14:paraId="48CF239F" w14:textId="77777777" w:rsidR="00000000" w:rsidRDefault="00732BCA">
            <w:pPr>
              <w:spacing w:after="120"/>
            </w:pPr>
            <w:r>
              <w:t>2,0 lít</w:t>
            </w:r>
          </w:p>
          <w:p w14:paraId="4D965BD5" w14:textId="77777777" w:rsidR="00000000" w:rsidRDefault="00732BCA">
            <w:r>
              <w:lastRenderedPageBreak/>
              <w:t>3,0 lít</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DE8C0" w14:textId="77777777" w:rsidR="00000000" w:rsidRDefault="00732BCA">
            <w:r>
              <w:lastRenderedPageBreak/>
              <w:t>Trẻ em dưới 15 tuổi không được hưởng tiêu chuẩn này</w:t>
            </w:r>
          </w:p>
        </w:tc>
      </w:tr>
      <w:tr w:rsidR="00000000" w14:paraId="27B94319"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2DAE2" w14:textId="77777777" w:rsidR="00000000" w:rsidRDefault="00732BCA">
            <w:pPr>
              <w:jc w:val="center"/>
            </w:pPr>
            <w:r>
              <w:t>2</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3F854" w14:textId="77777777" w:rsidR="00000000" w:rsidRDefault="00732BCA">
            <w:pPr>
              <w:spacing w:after="120"/>
            </w:pPr>
            <w:r>
              <w:t>Thuốc lá</w:t>
            </w:r>
          </w:p>
          <w:p w14:paraId="076A7B79" w14:textId="77777777" w:rsidR="00000000" w:rsidRDefault="00732BCA">
            <w:pPr>
              <w:spacing w:after="120"/>
            </w:pPr>
            <w:r>
              <w:t>- Thuốc lá điều</w:t>
            </w:r>
          </w:p>
          <w:p w14:paraId="1B0F72FA" w14:textId="77777777" w:rsidR="00000000" w:rsidRDefault="00732BCA">
            <w:pPr>
              <w:spacing w:after="120"/>
            </w:pPr>
            <w:r>
              <w:t>- Xì gà</w:t>
            </w:r>
          </w:p>
          <w:p w14:paraId="3ABAA621" w14:textId="77777777" w:rsidR="00000000" w:rsidRDefault="00732BCA">
            <w:r>
              <w:t>- Thuốc lá sợi</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41A81" w14:textId="77777777" w:rsidR="00000000" w:rsidRDefault="00732BCA">
            <w:pPr>
              <w:spacing w:after="120"/>
            </w:pPr>
            <w:r>
              <w:t>400 điếu</w:t>
            </w:r>
          </w:p>
          <w:p w14:paraId="57F98A86" w14:textId="77777777" w:rsidR="00000000" w:rsidRDefault="00732BCA">
            <w:pPr>
              <w:spacing w:after="120"/>
            </w:pPr>
            <w:r>
              <w:t>100 điếu</w:t>
            </w:r>
          </w:p>
          <w:p w14:paraId="1B441158" w14:textId="77777777" w:rsidR="00000000" w:rsidRDefault="00732BCA">
            <w:r>
              <w:t>500 gam</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A2E91" w14:textId="77777777" w:rsidR="00000000" w:rsidRDefault="00732BCA">
            <w:r>
              <w:t>Trẻ em dưới 15 tuổi không được hưởng tiêu chuẩn này</w:t>
            </w:r>
          </w:p>
        </w:tc>
      </w:tr>
      <w:tr w:rsidR="00000000" w14:paraId="26AF8D59"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FE86F" w14:textId="77777777" w:rsidR="00000000" w:rsidRDefault="00732BCA">
            <w:pPr>
              <w:jc w:val="center"/>
            </w:pPr>
            <w:r>
              <w:t>3</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48F56" w14:textId="77777777" w:rsidR="00000000" w:rsidRDefault="00732BCA">
            <w:pPr>
              <w:spacing w:after="120"/>
            </w:pPr>
            <w:r>
              <w:t>Chè, cà phê</w:t>
            </w:r>
          </w:p>
          <w:p w14:paraId="334BCC1B" w14:textId="77777777" w:rsidR="00000000" w:rsidRDefault="00732BCA">
            <w:pPr>
              <w:spacing w:after="120"/>
            </w:pPr>
            <w:r>
              <w:t>- Chè</w:t>
            </w:r>
          </w:p>
          <w:p w14:paraId="7DE1F6EE" w14:textId="77777777" w:rsidR="00000000" w:rsidRDefault="00732BCA">
            <w:r>
              <w:t>- Cà phê</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CB0178" w14:textId="77777777" w:rsidR="00000000" w:rsidRDefault="00732BCA">
            <w:pPr>
              <w:spacing w:after="120"/>
            </w:pPr>
            <w:r>
              <w:t>5 kg</w:t>
            </w:r>
          </w:p>
          <w:p w14:paraId="67043FEB" w14:textId="77777777" w:rsidR="00000000" w:rsidRDefault="00732BCA">
            <w:r>
              <w:t>3 kg</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506B8" w14:textId="77777777" w:rsidR="00000000" w:rsidRDefault="00732BCA">
            <w:r>
              <w:t>Trẻ em dưới 15 tuổi không được hưởng tiêu chuẩn này</w:t>
            </w:r>
          </w:p>
        </w:tc>
      </w:tr>
      <w:tr w:rsidR="00000000" w14:paraId="5E5E332B" w14:textId="77777777">
        <w:tblPrEx>
          <w:tblBorders>
            <w:top w:val="none" w:sz="0" w:space="0" w:color="auto"/>
            <w:bottom w:val="none" w:sz="0" w:space="0" w:color="auto"/>
            <w:insideH w:val="none" w:sz="0" w:space="0" w:color="auto"/>
            <w:insideV w:val="none" w:sz="0" w:space="0" w:color="auto"/>
          </w:tblBorders>
        </w:tblPrEx>
        <w:trPr>
          <w:trHeight w:val="1151"/>
        </w:trPr>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E5444" w14:textId="77777777" w:rsidR="00000000" w:rsidRDefault="00732BCA">
            <w:pPr>
              <w:jc w:val="center"/>
            </w:pPr>
            <w:r>
              <w:t>4</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8392BE" w14:textId="77777777" w:rsidR="00000000" w:rsidRDefault="00732BCA">
            <w:r>
              <w:t>Quần áo, đồ dùng mang tính chất hành lý phục vụ cho mục đích chuyển đi</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134ED" w14:textId="77777777" w:rsidR="00000000" w:rsidRDefault="00732BCA">
            <w:r>
              <w:t> </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840E3" w14:textId="77777777" w:rsidR="00000000" w:rsidRDefault="00732BCA">
            <w:r>
              <w:t> </w:t>
            </w:r>
          </w:p>
        </w:tc>
      </w:tr>
      <w:tr w:rsidR="00000000" w14:paraId="7FB2A90C"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DDF3F4" w14:textId="77777777" w:rsidR="00000000" w:rsidRDefault="00732BCA">
            <w:pPr>
              <w:jc w:val="center"/>
            </w:pPr>
            <w:r>
              <w:t>5</w:t>
            </w:r>
          </w:p>
        </w:tc>
        <w:tc>
          <w:tcPr>
            <w:tcW w:w="32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4B0BC" w14:textId="77777777" w:rsidR="00000000" w:rsidRDefault="00732BCA">
            <w:bookmarkStart w:id="4" w:name="cumtu_2"/>
            <w:r>
              <w:t>Các vật phẩm khác ngoài tiêu chuẩn hành lý đã ghi ở các hàng số 1, 2, 3, 4 nêu trên (không phải l</w:t>
            </w:r>
            <w:r>
              <w:t>à hàng cấm) khi xuất nhập cảnh được mang theo với tổng trị giá miễn thuế không quá 500 USD, áp dụng đối với công dân Việt Nam, người Việt Nam định cư ở nước ngoài và người nước ngoài</w:t>
            </w:r>
            <w:bookmarkEnd w:id="4"/>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CCEA5" w14:textId="77777777" w:rsidR="00000000" w:rsidRDefault="00732BCA">
            <w:r>
              <w:t> </w:t>
            </w:r>
          </w:p>
        </w:tc>
        <w:tc>
          <w:tcPr>
            <w:tcW w:w="31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70928B" w14:textId="77777777" w:rsidR="00000000" w:rsidRDefault="00732BCA">
            <w:r>
              <w:t> </w:t>
            </w:r>
          </w:p>
        </w:tc>
      </w:tr>
    </w:tbl>
    <w:p w14:paraId="040C274D" w14:textId="77777777" w:rsidR="00732BCA" w:rsidRDefault="00732BCA">
      <w:pPr>
        <w:spacing w:after="120"/>
      </w:pPr>
      <w:r>
        <w:t> </w:t>
      </w:r>
    </w:p>
    <w:sectPr w:rsidR="00732B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5B"/>
    <w:rsid w:val="00732BCA"/>
    <w:rsid w:val="00D57E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5DBA8"/>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2022-07-22T03:55:00Z</dcterms:created>
  <dcterms:modified xsi:type="dcterms:W3CDTF">2022-07-22T03:55:00Z</dcterms:modified>
</cp:coreProperties>
</file>