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6471">
            <w:pPr>
              <w:spacing w:before="120"/>
              <w:jc w:val="center"/>
            </w:pPr>
            <w:bookmarkStart w:id="0" w:name="_GoBack"/>
            <w:bookmarkEnd w:id="0"/>
            <w:r>
              <w:rPr>
                <w:b/>
                <w:bCs/>
              </w:rPr>
              <w:t>ỦY BAN NHÂN DÂN</w:t>
            </w:r>
            <w:r>
              <w:rPr>
                <w:b/>
                <w:bCs/>
              </w:rPr>
              <w:br/>
              <w:t>THÀNH PHỐ HỒ CHÍ MINH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647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6471">
            <w:pPr>
              <w:spacing w:before="120"/>
              <w:jc w:val="center"/>
            </w:pPr>
            <w:r>
              <w:t>Số: 15/2015/QĐ-UBND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6471">
            <w:pPr>
              <w:spacing w:before="120"/>
              <w:jc w:val="right"/>
            </w:pPr>
            <w:r>
              <w:rPr>
                <w:i/>
                <w:iCs/>
              </w:rPr>
              <w:t>Thành phố Hồ Chí Minh, ngày 12 tháng 03 năm 2015</w:t>
            </w:r>
          </w:p>
        </w:tc>
      </w:tr>
    </w:tbl>
    <w:p w:rsidR="00000000" w:rsidRDefault="00FA6471">
      <w:pPr>
        <w:spacing w:before="120" w:after="280" w:afterAutospacing="1"/>
      </w:pPr>
      <w:r>
        <w:rPr>
          <w:lang w:val="vi-VN"/>
        </w:rPr>
        <w:t> </w:t>
      </w:r>
    </w:p>
    <w:p w:rsidR="00000000" w:rsidRDefault="00FA6471">
      <w:pPr>
        <w:spacing w:before="120" w:after="280" w:afterAutospacing="1"/>
        <w:jc w:val="center"/>
      </w:pPr>
      <w:r>
        <w:rPr>
          <w:b/>
          <w:bCs/>
          <w:lang w:val="vi-VN"/>
        </w:rPr>
        <w:t>QUYẾT ĐỊNH</w:t>
      </w:r>
    </w:p>
    <w:p w:rsidR="00000000" w:rsidRDefault="00FA6471">
      <w:pPr>
        <w:spacing w:before="120" w:after="280" w:afterAutospacing="1"/>
        <w:jc w:val="center"/>
      </w:pPr>
      <w:r>
        <w:rPr>
          <w:lang w:val="vi-VN"/>
        </w:rPr>
        <w:t>VỀ VIỆC SỬA ĐỔI KHOẢN 1 VÀ KHOẢN 2 ĐIỀU 5 QUYẾ</w:t>
      </w:r>
      <w:r>
        <w:rPr>
          <w:lang w:val="vi-VN"/>
        </w:rPr>
        <w:t>T ĐỊNH SỐ 07/2012/QĐ-UBND NGÀY 28 THÁNG 02 NĂM 2012 CỦA ỦY BAN NHÂN DÂN THÀNH PHỐ VỀ THÀNH LẬP VÀ BAN HÀNH QUY CHẾ (MẪU) TỔ CHỨC VÀ HOẠT ĐỘNG CỦA LỰC LƯỢNG QUẢN LÝ ĐÊ NHÂN DÂN TẠI PHƯỜNG - XÃ, THỊ TRẤN (NƠI CÓ ĐÊ) TRÊN ĐỊA BÀN THÀNH PHỐ HỒ CHÍ MINH</w:t>
      </w:r>
    </w:p>
    <w:p w:rsidR="00000000" w:rsidRDefault="00FA6471">
      <w:pPr>
        <w:spacing w:before="120" w:after="280" w:afterAutospacing="1"/>
        <w:jc w:val="center"/>
      </w:pPr>
      <w:r>
        <w:rPr>
          <w:b/>
          <w:bCs/>
          <w:lang w:val="vi-VN"/>
        </w:rPr>
        <w:t xml:space="preserve">ỦY BAN </w:t>
      </w:r>
      <w:r>
        <w:rPr>
          <w:b/>
          <w:bCs/>
          <w:lang w:val="vi-VN"/>
        </w:rPr>
        <w:t>NHÂN DÂN THÀNH PHỐ HỒ CHÍ MINH</w:t>
      </w:r>
    </w:p>
    <w:p w:rsidR="00000000" w:rsidRDefault="00FA6471">
      <w:pPr>
        <w:spacing w:before="120" w:after="280" w:afterAutospacing="1"/>
      </w:pPr>
      <w:r>
        <w:rPr>
          <w:i/>
          <w:iCs/>
          <w:lang w:val="vi-VN"/>
        </w:rPr>
        <w:t xml:space="preserve">Căn cứ Luật Tổ chức Hội đồng nhân dân và </w:t>
      </w:r>
      <w:r>
        <w:rPr>
          <w:i/>
          <w:iCs/>
          <w:shd w:val="solid" w:color="FFFFFF" w:fill="auto"/>
          <w:lang w:val="vi-VN"/>
        </w:rPr>
        <w:t>Ủy ban</w:t>
      </w:r>
      <w:r>
        <w:rPr>
          <w:i/>
          <w:iCs/>
          <w:lang w:val="vi-VN"/>
        </w:rPr>
        <w:t xml:space="preserve"> nhân dân ngày 26 tháng 11 năm 2003;</w:t>
      </w:r>
    </w:p>
    <w:p w:rsidR="00000000" w:rsidRDefault="00FA6471">
      <w:pPr>
        <w:spacing w:before="120" w:after="280" w:afterAutospacing="1"/>
      </w:pPr>
      <w:r>
        <w:rPr>
          <w:i/>
          <w:iCs/>
          <w:lang w:val="vi-VN"/>
        </w:rPr>
        <w:t>Căn cứ Luật Đê điều ngày 29 tháng 11 năm 2006;</w:t>
      </w:r>
    </w:p>
    <w:p w:rsidR="00000000" w:rsidRDefault="00FA6471">
      <w:pPr>
        <w:spacing w:before="120" w:after="280" w:afterAutospacing="1"/>
      </w:pPr>
      <w:r>
        <w:rPr>
          <w:i/>
          <w:iCs/>
          <w:lang w:val="vi-VN"/>
        </w:rPr>
        <w:t xml:space="preserve">Căn cứ Luật Phòng, chống thiên tai ngày 19 tháng 6 </w:t>
      </w:r>
      <w:r>
        <w:rPr>
          <w:i/>
          <w:iCs/>
          <w:shd w:val="solid" w:color="FFFFFF" w:fill="auto"/>
          <w:lang w:val="vi-VN"/>
        </w:rPr>
        <w:t>năm</w:t>
      </w:r>
      <w:r>
        <w:rPr>
          <w:i/>
          <w:iCs/>
          <w:lang w:val="vi-VN"/>
        </w:rPr>
        <w:t xml:space="preserve"> 2013;</w:t>
      </w:r>
    </w:p>
    <w:p w:rsidR="00000000" w:rsidRDefault="00FA6471">
      <w:pPr>
        <w:spacing w:before="120" w:after="280" w:afterAutospacing="1"/>
      </w:pPr>
      <w:r>
        <w:rPr>
          <w:i/>
          <w:iCs/>
          <w:lang w:val="vi-VN"/>
        </w:rPr>
        <w:t>Căn cứ Nghị định số 113/2007/NĐ-C</w:t>
      </w:r>
      <w:r>
        <w:rPr>
          <w:i/>
          <w:iCs/>
          <w:lang w:val="vi-VN"/>
        </w:rPr>
        <w:t>P ngày 28 tháng 6 năm 2007 của Chính phủ quy định chi tiết và hướng dẫn thi hành một số điều của Luật Đê điều; Nghị định số 66/2014/NĐ-CP ngày 04 tháng 7 năm 2014 quy định chi tiết, hướng dẫn thi hành một số điều của Luật Phòng, chống thiên tai;</w:t>
      </w:r>
    </w:p>
    <w:p w:rsidR="00000000" w:rsidRDefault="00FA6471">
      <w:pPr>
        <w:spacing w:before="120" w:after="280" w:afterAutospacing="1"/>
      </w:pPr>
      <w:r>
        <w:rPr>
          <w:i/>
          <w:iCs/>
          <w:lang w:val="vi-VN"/>
        </w:rPr>
        <w:t>Căn cứ Quy</w:t>
      </w:r>
      <w:r>
        <w:rPr>
          <w:i/>
          <w:iCs/>
          <w:lang w:val="vi-VN"/>
        </w:rPr>
        <w:t xml:space="preserve">ết định số 118/2008/QĐ-TTg ngày 27 tháng 8 năm 2008 của Thủ tướng Chính phủ ban hành Quy chế quản </w:t>
      </w:r>
      <w:r>
        <w:rPr>
          <w:i/>
          <w:iCs/>
          <w:shd w:val="solid" w:color="FFFFFF" w:fill="auto"/>
          <w:lang w:val="vi-VN"/>
        </w:rPr>
        <w:t>lý</w:t>
      </w:r>
      <w:r>
        <w:rPr>
          <w:i/>
          <w:iCs/>
          <w:lang w:val="vi-VN"/>
        </w:rPr>
        <w:t xml:space="preserve"> tài chính đối với hoạt động tìm kiếm cứu nạn, cứu hộ, ứng phó thiên tai, thảm họa;</w:t>
      </w:r>
    </w:p>
    <w:p w:rsidR="00000000" w:rsidRDefault="00FA6471">
      <w:pPr>
        <w:spacing w:before="120" w:after="280" w:afterAutospacing="1"/>
      </w:pPr>
      <w:r>
        <w:rPr>
          <w:i/>
          <w:iCs/>
          <w:lang w:val="vi-VN"/>
        </w:rPr>
        <w:t>Căn cứ Thông tư số 01/2009/TT-BNN ngày 6 tháng 01 năm 2009 của Bộ Nông n</w:t>
      </w:r>
      <w:r>
        <w:rPr>
          <w:i/>
          <w:iCs/>
          <w:lang w:val="vi-VN"/>
        </w:rPr>
        <w:t>ghiệp và Phát triển nông thôn về hướng dẫn tuần tra, canh gác bảo vệ đê điều trong mùa lũ;</w:t>
      </w:r>
    </w:p>
    <w:p w:rsidR="00000000" w:rsidRDefault="00FA6471">
      <w:pPr>
        <w:spacing w:before="120" w:after="280" w:afterAutospacing="1"/>
      </w:pPr>
      <w:r>
        <w:rPr>
          <w:i/>
          <w:iCs/>
          <w:lang w:val="vi-VN"/>
        </w:rPr>
        <w:t>Căn cứ Thông tư số 26/2009/TT-BNN ngày 11 tháng 5 năm 2009 của Bộ Nông nghiệp và Phát triển nông thôn hướng dẫn về cơ cấu tổ chức, nguồn kinh phí và chế độ thù lao đ</w:t>
      </w:r>
      <w:r>
        <w:rPr>
          <w:i/>
          <w:iCs/>
          <w:lang w:val="vi-VN"/>
        </w:rPr>
        <w:t xml:space="preserve">ối với lực lượng quản </w:t>
      </w:r>
      <w:r>
        <w:rPr>
          <w:i/>
          <w:iCs/>
          <w:shd w:val="solid" w:color="FFFFFF" w:fill="auto"/>
          <w:lang w:val="vi-VN"/>
        </w:rPr>
        <w:t>lý</w:t>
      </w:r>
      <w:r>
        <w:rPr>
          <w:i/>
          <w:iCs/>
          <w:lang w:val="vi-VN"/>
        </w:rPr>
        <w:t xml:space="preserve"> đê nhân dân;</w:t>
      </w:r>
    </w:p>
    <w:p w:rsidR="00000000" w:rsidRDefault="00FA6471">
      <w:pPr>
        <w:spacing w:before="120" w:after="280" w:afterAutospacing="1"/>
      </w:pPr>
      <w:r>
        <w:rPr>
          <w:i/>
          <w:iCs/>
          <w:lang w:val="vi-VN"/>
        </w:rPr>
        <w:t>Căn cứ Thông tư số 92/2009/TT-BTC ngày 12 tháng 5 năm 2009 của Bộ Tài chính hướng dẫn việc thanh toán kinh phí từ nguồn ngân sách nhà nước cho các tổ chức, cá nhân tham gia hoạt động tìm kiếm cứu nạn, cứu hộ, ứng phó t</w:t>
      </w:r>
      <w:r>
        <w:rPr>
          <w:i/>
          <w:iCs/>
          <w:lang w:val="vi-VN"/>
        </w:rPr>
        <w:t>hiên tai, thảm họa;</w:t>
      </w:r>
    </w:p>
    <w:p w:rsidR="00000000" w:rsidRDefault="00FA6471">
      <w:pPr>
        <w:spacing w:before="120" w:after="280" w:afterAutospacing="1"/>
      </w:pPr>
      <w:r>
        <w:rPr>
          <w:i/>
          <w:iCs/>
          <w:lang w:val="vi-VN"/>
        </w:rPr>
        <w:t xml:space="preserve">Xét đề nghị của Sở Nông nghiệp và Phát triển nông thôn, Sở Tài chính tại Tờ trình liên Sở số 2633/TTr-SNN-STC ngày 08 tháng 12 năm 2014, ý kiến của Sở Tư pháp tại Công văn số </w:t>
      </w:r>
      <w:r>
        <w:rPr>
          <w:i/>
          <w:iCs/>
          <w:lang w:val="vi-VN"/>
        </w:rPr>
        <w:lastRenderedPageBreak/>
        <w:t>6410/STP-VB ngày 17 tháng 11 năm 2014, ý kiến của Sở Nội vụ t</w:t>
      </w:r>
      <w:r>
        <w:rPr>
          <w:i/>
          <w:iCs/>
          <w:lang w:val="vi-VN"/>
        </w:rPr>
        <w:t>ại Công văn số 326/SNV-XDCQĐT ngày 28 tháng 01 năm 2015 và ý kiến của Sở Lao động - Thương binh và Xã hội tại Công văn số 3147/SLĐTBXH-LĐ ngày 25 tháng 02 năm 2015,</w:t>
      </w:r>
    </w:p>
    <w:p w:rsidR="00000000" w:rsidRDefault="00FA6471">
      <w:pPr>
        <w:spacing w:before="120" w:after="280" w:afterAutospacing="1"/>
        <w:jc w:val="center"/>
      </w:pPr>
      <w:r>
        <w:rPr>
          <w:b/>
          <w:bCs/>
          <w:lang w:val="vi-VN"/>
        </w:rPr>
        <w:t>QUYẾT ĐỊNH:</w:t>
      </w:r>
    </w:p>
    <w:p w:rsidR="00000000" w:rsidRDefault="00FA6471">
      <w:pPr>
        <w:spacing w:before="120" w:after="280" w:afterAutospacing="1"/>
      </w:pPr>
      <w:bookmarkStart w:id="1" w:name="dieu_1"/>
      <w:r>
        <w:rPr>
          <w:b/>
          <w:bCs/>
          <w:lang w:val="vi-VN"/>
        </w:rPr>
        <w:t>Điều 1.</w:t>
      </w:r>
      <w:bookmarkEnd w:id="1"/>
      <w:r>
        <w:rPr>
          <w:lang w:val="vi-VN"/>
        </w:rPr>
        <w:t xml:space="preserve"> </w:t>
      </w:r>
      <w:bookmarkStart w:id="2" w:name="dieu_1_name"/>
      <w:r>
        <w:rPr>
          <w:lang w:val="vi-VN"/>
        </w:rPr>
        <w:t>Sửa đổi Khoản 1 và Khoản 2 Điều 5 Quyết định số 07/2012/QĐ-UBND ngày 28</w:t>
      </w:r>
      <w:r>
        <w:rPr>
          <w:lang w:val="vi-VN"/>
        </w:rPr>
        <w:t xml:space="preserve"> tháng 02 năm 2012 của Ủy ban nhân dân Thành phố về thành lập và ban hành Quy chế (mẫu) tổ chức và hoạt động của Lực lượng Quản lý đê nhân dân tại phường - xã, thị trấn (nơi có đê) trên địa bàn Thành phố Hồ Chí Minh như sau:</w:t>
      </w:r>
      <w:bookmarkEnd w:id="2"/>
    </w:p>
    <w:p w:rsidR="00000000" w:rsidRDefault="00FA6471">
      <w:pPr>
        <w:spacing w:before="120" w:after="280" w:afterAutospacing="1"/>
      </w:pPr>
      <w:bookmarkStart w:id="3" w:name="khoan_1_1"/>
      <w:r>
        <w:rPr>
          <w:lang w:val="vi-VN"/>
        </w:rPr>
        <w:t>1. Mức thù lao cụ thể hàng thán</w:t>
      </w:r>
      <w:r>
        <w:rPr>
          <w:lang w:val="vi-VN"/>
        </w:rPr>
        <w:t>g cho mỗi nhân viên quản lý đê nhân dân là 1.900.000 đồng/người/tháng (Một triệu, chín trăm nghìn đồng chẵn).</w:t>
      </w:r>
      <w:bookmarkEnd w:id="3"/>
    </w:p>
    <w:p w:rsidR="00000000" w:rsidRDefault="00FA6471">
      <w:pPr>
        <w:spacing w:before="120" w:after="280" w:afterAutospacing="1"/>
      </w:pPr>
      <w:r>
        <w:rPr>
          <w:lang w:val="vi-VN"/>
        </w:rPr>
        <w:t>2. Phụ cấp trách nhiệm: Đội trưởng được hưởng thêm mức thù lao trách nhiệm là 230.000 đồng/người/tháng và Đội phó được hưởng thêm mức thù lao trác</w:t>
      </w:r>
      <w:r>
        <w:rPr>
          <w:lang w:val="vi-VN"/>
        </w:rPr>
        <w:t>h nhiệm là 115.000 đồng/người/tháng.</w:t>
      </w:r>
    </w:p>
    <w:p w:rsidR="00000000" w:rsidRDefault="00FA6471">
      <w:pPr>
        <w:spacing w:before="120" w:after="280" w:afterAutospacing="1"/>
      </w:pPr>
      <w:r>
        <w:rPr>
          <w:b/>
          <w:bCs/>
          <w:lang w:val="vi-VN"/>
        </w:rPr>
        <w:t>Điều 2.</w:t>
      </w:r>
      <w:r>
        <w:rPr>
          <w:lang w:val="vi-VN"/>
        </w:rPr>
        <w:t xml:space="preserve"> Quyết định này có hiệu lực sau 10 ngày, kể từ ngày ký. Các nội dung khác vẫn tiếp tục thực hiện theo Quyết định số 07/2012/QĐ-</w:t>
      </w:r>
      <w:r>
        <w:rPr>
          <w:shd w:val="solid" w:color="FFFFFF" w:fill="auto"/>
          <w:lang w:val="vi-VN"/>
        </w:rPr>
        <w:t>UBND</w:t>
      </w:r>
      <w:r>
        <w:rPr>
          <w:lang w:val="vi-VN"/>
        </w:rPr>
        <w:t xml:space="preserve"> ngày 28 tháng 02 năm 2012 của Ủy ban nhân dân Thành phố về thành lập và ban hành</w:t>
      </w:r>
      <w:r>
        <w:rPr>
          <w:lang w:val="vi-VN"/>
        </w:rPr>
        <w:t xml:space="preserve"> Quy chế (mẫu) tổ chức và hoạt động của Lực lượng Quản lý đê nhân dân tại phường - xã, thị trấn (nơi có đê) trên địa bàn Thành phố Hồ Chí Minh.</w:t>
      </w:r>
    </w:p>
    <w:p w:rsidR="00000000" w:rsidRDefault="00FA6471">
      <w:pPr>
        <w:spacing w:before="120" w:after="280" w:afterAutospacing="1"/>
      </w:pPr>
      <w:r>
        <w:rPr>
          <w:b/>
          <w:bCs/>
          <w:lang w:val="vi-VN"/>
        </w:rPr>
        <w:t>Điều 3.</w:t>
      </w:r>
      <w:r>
        <w:rPr>
          <w:lang w:val="vi-VN"/>
        </w:rPr>
        <w:t xml:space="preserve"> Chánh Văn phòng </w:t>
      </w:r>
      <w:r>
        <w:rPr>
          <w:shd w:val="solid" w:color="FFFFFF" w:fill="auto"/>
          <w:lang w:val="vi-VN"/>
        </w:rPr>
        <w:t>Ủy ban</w:t>
      </w:r>
      <w:r>
        <w:rPr>
          <w:lang w:val="vi-VN"/>
        </w:rPr>
        <w:t xml:space="preserve"> nhân dân </w:t>
      </w:r>
      <w:r>
        <w:rPr>
          <w:shd w:val="solid" w:color="FFFFFF" w:fill="auto"/>
          <w:lang w:val="vi-VN"/>
        </w:rPr>
        <w:t>Thành phố</w:t>
      </w:r>
      <w:r>
        <w:rPr>
          <w:lang w:val="vi-VN"/>
        </w:rPr>
        <w:t xml:space="preserve">, Giám đốc Sở Nông nghiệp và Phát triển nông thôn, Giám đốc Sở </w:t>
      </w:r>
      <w:r>
        <w:rPr>
          <w:lang w:val="vi-VN"/>
        </w:rPr>
        <w:t xml:space="preserve">Nội vụ, Giám đốc Sở Tài chính, Giám đốc Sở Lao động - Thương binh và Xã hội, Trưởng Ban Chỉ huy Phòng chống thiên tai và Tìm kiếm cứu nạn Thành phố, Chủ tịch </w:t>
      </w:r>
      <w:r>
        <w:rPr>
          <w:shd w:val="solid" w:color="FFFFFF" w:fill="auto"/>
          <w:lang w:val="vi-VN"/>
        </w:rPr>
        <w:t>Ủy ban</w:t>
      </w:r>
      <w:r>
        <w:rPr>
          <w:lang w:val="vi-VN"/>
        </w:rPr>
        <w:t xml:space="preserve"> nhân dân các quận - huyện, phường - xã, thị trấn (nơi có đê) chịu trách nhiệm thi hành Quyế</w:t>
      </w:r>
      <w:r>
        <w:rPr>
          <w:lang w:val="vi-VN"/>
        </w:rPr>
        <w:t>t định này./.</w:t>
      </w:r>
    </w:p>
    <w:p w:rsidR="00000000" w:rsidRDefault="00FA647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6471">
            <w:pPr>
              <w:spacing w:before="120"/>
            </w:pPr>
            <w:r>
              <w:rPr>
                <w:b/>
                <w:bCs/>
                <w:i/>
                <w:iCs/>
              </w:rPr>
              <w:br/>
              <w:t>Nơi nhận:</w:t>
            </w:r>
            <w:r>
              <w:br/>
            </w:r>
            <w:r>
              <w:rPr>
                <w:sz w:val="16"/>
              </w:rPr>
              <w:t>- Như Điều 3;</w:t>
            </w:r>
            <w:r>
              <w:rPr>
                <w:sz w:val="16"/>
              </w:rPr>
              <w:br/>
              <w:t>- Bộ Nông nghiệp và Phát triển nông thôn;</w:t>
            </w:r>
            <w:r>
              <w:rPr>
                <w:sz w:val="16"/>
              </w:rPr>
              <w:br/>
              <w:t xml:space="preserve">- Cục Quản </w:t>
            </w:r>
            <w:r>
              <w:rPr>
                <w:sz w:val="16"/>
                <w:shd w:val="solid" w:color="FFFFFF" w:fill="auto"/>
              </w:rPr>
              <w:t>lý</w:t>
            </w:r>
            <w:r>
              <w:rPr>
                <w:sz w:val="16"/>
              </w:rPr>
              <w:t xml:space="preserve"> Đê điều và PCLB;</w:t>
            </w:r>
            <w:r>
              <w:rPr>
                <w:sz w:val="16"/>
              </w:rPr>
              <w:br/>
              <w:t>- Cục Kiểm tra văn bản (Bộ Tư pháp);</w:t>
            </w:r>
            <w:r>
              <w:rPr>
                <w:sz w:val="16"/>
              </w:rPr>
              <w:br/>
              <w:t>- Thường trực Thành ủy;</w:t>
            </w:r>
            <w:r>
              <w:rPr>
                <w:sz w:val="16"/>
              </w:rPr>
              <w:br/>
              <w:t>- Thường trực HĐND Thành phố;</w:t>
            </w:r>
            <w:r>
              <w:rPr>
                <w:sz w:val="16"/>
              </w:rPr>
              <w:br/>
              <w:t>- TTUB; CT, các PCT;</w:t>
            </w:r>
            <w:r>
              <w:rPr>
                <w:sz w:val="16"/>
              </w:rPr>
              <w:br/>
            </w:r>
            <w:r>
              <w:rPr>
                <w:sz w:val="16"/>
                <w:shd w:val="solid" w:color="FFFFFF" w:fill="auto"/>
              </w:rPr>
              <w:t>- Ủy ban</w:t>
            </w:r>
            <w:r>
              <w:rPr>
                <w:sz w:val="16"/>
              </w:rPr>
              <w:t xml:space="preserve"> Mặt trận Tổ quốc Việt</w:t>
            </w:r>
            <w:r>
              <w:rPr>
                <w:sz w:val="16"/>
              </w:rPr>
              <w:t xml:space="preserve"> Nam TP;</w:t>
            </w:r>
            <w:r>
              <w:rPr>
                <w:sz w:val="16"/>
              </w:rPr>
              <w:br/>
              <w:t>- Kho bạc Nhà nước TP; Sở Tư pháp;</w:t>
            </w:r>
            <w:r>
              <w:rPr>
                <w:sz w:val="16"/>
              </w:rPr>
              <w:br/>
              <w:t xml:space="preserve">- Các Thành viên BCH PCTT và TKCN TP; </w:t>
            </w:r>
            <w:r>
              <w:rPr>
                <w:sz w:val="16"/>
              </w:rPr>
              <w:br/>
              <w:t>- VPUB: các PVP, các Phòng CV, TCCB;</w:t>
            </w:r>
            <w:r>
              <w:rPr>
                <w:sz w:val="16"/>
              </w:rPr>
              <w:br/>
              <w:t>- Lưu: VT, (CNN/Tr) MH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6471">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Tất Thành Cang</w:t>
            </w:r>
          </w:p>
        </w:tc>
      </w:tr>
    </w:tbl>
    <w:p w:rsidR="00FA6471" w:rsidRDefault="00FA6471">
      <w:pPr>
        <w:spacing w:before="120" w:after="280" w:afterAutospacing="1"/>
      </w:pPr>
      <w:r>
        <w:t> </w:t>
      </w:r>
    </w:p>
    <w:sectPr w:rsidR="00FA64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36"/>
    <w:rsid w:val="00F83F36"/>
    <w:rsid w:val="00FA64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2022-10-18T07:01:00Z</dcterms:created>
  <dcterms:modified xsi:type="dcterms:W3CDTF">2022-10-18T07:01:00Z</dcterms:modified>
</cp:coreProperties>
</file>